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3E03" w14:textId="77777777" w:rsidR="00AC4059" w:rsidRPr="00FA3B38" w:rsidRDefault="00AC4059" w:rsidP="00AC4059">
      <w:pPr>
        <w:pStyle w:val="Default"/>
      </w:pPr>
    </w:p>
    <w:p w14:paraId="5732D58D" w14:textId="77777777" w:rsidR="00AC4059" w:rsidRPr="00FA3B38" w:rsidRDefault="00AC4059" w:rsidP="00AC4059">
      <w:pPr>
        <w:pStyle w:val="Default"/>
        <w:rPr>
          <w:b/>
          <w:bCs/>
          <w:sz w:val="23"/>
          <w:szCs w:val="23"/>
        </w:rPr>
      </w:pPr>
      <w:r w:rsidRPr="00FA3B38">
        <w:rPr>
          <w:b/>
          <w:bCs/>
          <w:sz w:val="23"/>
          <w:szCs w:val="23"/>
        </w:rPr>
        <w:t xml:space="preserve">Magistrate Judge Referrals </w:t>
      </w:r>
    </w:p>
    <w:p w14:paraId="5437619B" w14:textId="77777777" w:rsidR="00AC4059" w:rsidRPr="00FA3B38" w:rsidRDefault="00AC4059" w:rsidP="00AC4059">
      <w:pPr>
        <w:pStyle w:val="Default"/>
        <w:rPr>
          <w:sz w:val="23"/>
          <w:szCs w:val="23"/>
        </w:rPr>
      </w:pPr>
    </w:p>
    <w:p w14:paraId="6BA859E9" w14:textId="77777777" w:rsidR="00AC4059" w:rsidRPr="00FA3B38" w:rsidRDefault="00AC4059" w:rsidP="00900D60">
      <w:pPr>
        <w:pStyle w:val="Default"/>
        <w:jc w:val="center"/>
        <w:rPr>
          <w:b/>
          <w:bCs/>
          <w:sz w:val="23"/>
          <w:szCs w:val="23"/>
        </w:rPr>
      </w:pPr>
      <w:r w:rsidRPr="00FA3B38">
        <w:rPr>
          <w:b/>
          <w:bCs/>
          <w:sz w:val="23"/>
          <w:szCs w:val="23"/>
        </w:rPr>
        <w:t xml:space="preserve">JUDGE </w:t>
      </w:r>
      <w:r w:rsidR="00900D60" w:rsidRPr="00FA3B38">
        <w:rPr>
          <w:b/>
          <w:bCs/>
          <w:sz w:val="23"/>
          <w:szCs w:val="23"/>
        </w:rPr>
        <w:t>JAMES D. CAIN, JR.</w:t>
      </w:r>
    </w:p>
    <w:p w14:paraId="348E4159" w14:textId="77777777" w:rsidR="00900D60" w:rsidRPr="00FA3B38" w:rsidRDefault="00900D60" w:rsidP="00900D60">
      <w:pPr>
        <w:pStyle w:val="Default"/>
        <w:jc w:val="center"/>
        <w:rPr>
          <w:sz w:val="23"/>
          <w:szCs w:val="23"/>
        </w:rPr>
      </w:pPr>
    </w:p>
    <w:p w14:paraId="506DB6FE" w14:textId="77777777" w:rsidR="00AC4059" w:rsidRPr="00FA3B38" w:rsidRDefault="00AC4059" w:rsidP="003861AF">
      <w:pPr>
        <w:pStyle w:val="Default"/>
        <w:ind w:firstLine="720"/>
        <w:rPr>
          <w:sz w:val="23"/>
          <w:szCs w:val="23"/>
        </w:rPr>
      </w:pPr>
      <w:r w:rsidRPr="00FA3B38">
        <w:rPr>
          <w:sz w:val="23"/>
          <w:szCs w:val="23"/>
        </w:rPr>
        <w:t xml:space="preserve">This order shall govern all actions filed in this court assigned to Judge </w:t>
      </w:r>
      <w:r w:rsidR="00900D60" w:rsidRPr="00FA3B38">
        <w:rPr>
          <w:sz w:val="23"/>
          <w:szCs w:val="23"/>
        </w:rPr>
        <w:t xml:space="preserve">James D. Cain, Jr., </w:t>
      </w:r>
      <w:r w:rsidRPr="00FA3B38">
        <w:rPr>
          <w:sz w:val="23"/>
          <w:szCs w:val="23"/>
        </w:rPr>
        <w:t xml:space="preserve">unless otherwise ordered by the Court. </w:t>
      </w:r>
    </w:p>
    <w:p w14:paraId="1C1208F0" w14:textId="77777777" w:rsidR="00900D60" w:rsidRPr="00FA3B38" w:rsidRDefault="00900D60" w:rsidP="00AC4059">
      <w:pPr>
        <w:pStyle w:val="Default"/>
        <w:rPr>
          <w:sz w:val="23"/>
          <w:szCs w:val="23"/>
        </w:rPr>
      </w:pPr>
    </w:p>
    <w:p w14:paraId="7AEDB0C8" w14:textId="77777777" w:rsidR="00AC4059" w:rsidRPr="00FA3B38" w:rsidRDefault="00AC4059" w:rsidP="00900D60">
      <w:pPr>
        <w:pStyle w:val="Default"/>
        <w:jc w:val="center"/>
        <w:rPr>
          <w:b/>
          <w:bCs/>
          <w:sz w:val="23"/>
          <w:szCs w:val="23"/>
        </w:rPr>
      </w:pPr>
      <w:r w:rsidRPr="00FA3B38">
        <w:rPr>
          <w:b/>
          <w:bCs/>
          <w:sz w:val="23"/>
          <w:szCs w:val="23"/>
        </w:rPr>
        <w:t>Civil Cases</w:t>
      </w:r>
    </w:p>
    <w:p w14:paraId="0BA3E172" w14:textId="77777777" w:rsidR="00900D60" w:rsidRPr="00FA3B38" w:rsidRDefault="00900D60" w:rsidP="00AC4059">
      <w:pPr>
        <w:pStyle w:val="Default"/>
        <w:rPr>
          <w:sz w:val="23"/>
          <w:szCs w:val="23"/>
        </w:rPr>
      </w:pPr>
    </w:p>
    <w:p w14:paraId="290C7E66" w14:textId="77777777" w:rsidR="00AC4059" w:rsidRPr="00FA3B38" w:rsidRDefault="00AC4059" w:rsidP="003861AF">
      <w:pPr>
        <w:pStyle w:val="Default"/>
        <w:ind w:firstLine="360"/>
        <w:rPr>
          <w:sz w:val="23"/>
          <w:szCs w:val="23"/>
        </w:rPr>
      </w:pPr>
      <w:r w:rsidRPr="00FA3B38">
        <w:rPr>
          <w:sz w:val="23"/>
          <w:szCs w:val="23"/>
        </w:rPr>
        <w:t xml:space="preserve">All civil actions, except habeas corpus petitions filed under </w:t>
      </w:r>
      <w:r w:rsidRPr="00FA3B38">
        <w:rPr>
          <w:b/>
          <w:bCs/>
          <w:sz w:val="23"/>
          <w:szCs w:val="23"/>
        </w:rPr>
        <w:t xml:space="preserve">28 U.S.C. 2241 and/or 2254, </w:t>
      </w:r>
      <w:r w:rsidRPr="00FA3B38">
        <w:rPr>
          <w:sz w:val="23"/>
          <w:szCs w:val="23"/>
        </w:rPr>
        <w:t xml:space="preserve">and prisoner petitions involving conditions of confinement, and petitions for review of a denial of a claim for benefits under the Social Security Act, </w:t>
      </w:r>
      <w:r w:rsidRPr="00FA3B38">
        <w:rPr>
          <w:b/>
          <w:bCs/>
          <w:sz w:val="23"/>
          <w:szCs w:val="23"/>
        </w:rPr>
        <w:t>42 U.S.C. 405(g)</w:t>
      </w:r>
      <w:r w:rsidRPr="00FA3B38">
        <w:rPr>
          <w:sz w:val="23"/>
          <w:szCs w:val="23"/>
        </w:rPr>
        <w:t xml:space="preserve">, shall be referred to the assigned magistrate judge for disposition of all pretrial matters arising through the date of the final pretrial conference, or such other date as the court may direct in any particular case. This reference shall include: </w:t>
      </w:r>
    </w:p>
    <w:p w14:paraId="5F59DA6E" w14:textId="77777777" w:rsidR="00900D60" w:rsidRPr="00FA3B38" w:rsidRDefault="00900D60" w:rsidP="00AC4059">
      <w:pPr>
        <w:pStyle w:val="Default"/>
        <w:rPr>
          <w:sz w:val="23"/>
          <w:szCs w:val="23"/>
        </w:rPr>
      </w:pPr>
    </w:p>
    <w:p w14:paraId="151DA3D3" w14:textId="77777777" w:rsidR="00AC4059" w:rsidRPr="005D7A6C" w:rsidRDefault="00AC4059" w:rsidP="005D7A6C">
      <w:pPr>
        <w:pStyle w:val="Default"/>
        <w:numPr>
          <w:ilvl w:val="0"/>
          <w:numId w:val="13"/>
        </w:numPr>
        <w:ind w:left="720"/>
        <w:rPr>
          <w:sz w:val="23"/>
          <w:szCs w:val="23"/>
        </w:rPr>
      </w:pPr>
      <w:r w:rsidRPr="005D7A6C">
        <w:rPr>
          <w:sz w:val="23"/>
          <w:szCs w:val="23"/>
        </w:rPr>
        <w:t xml:space="preserve">Any conferences held in furtherance of </w:t>
      </w:r>
      <w:r w:rsidRPr="005D7A6C">
        <w:rPr>
          <w:bCs/>
          <w:sz w:val="23"/>
          <w:szCs w:val="23"/>
        </w:rPr>
        <w:t>Rule 16 of the Federal Rules of Civil Procedure</w:t>
      </w:r>
      <w:r w:rsidRPr="005D7A6C">
        <w:rPr>
          <w:sz w:val="23"/>
          <w:szCs w:val="23"/>
        </w:rPr>
        <w:t xml:space="preserve">, </w:t>
      </w:r>
    </w:p>
    <w:p w14:paraId="2D22A4C7" w14:textId="77777777" w:rsidR="00AC4059" w:rsidRPr="005D7A6C" w:rsidRDefault="00AC4059" w:rsidP="005D7A6C">
      <w:pPr>
        <w:pStyle w:val="Default"/>
        <w:ind w:left="360"/>
        <w:rPr>
          <w:sz w:val="23"/>
          <w:szCs w:val="23"/>
        </w:rPr>
      </w:pPr>
    </w:p>
    <w:p w14:paraId="251838F1" w14:textId="77777777" w:rsidR="00900D60" w:rsidRPr="005D7A6C" w:rsidRDefault="00AC4059" w:rsidP="005D7A6C">
      <w:pPr>
        <w:pStyle w:val="Default"/>
        <w:numPr>
          <w:ilvl w:val="0"/>
          <w:numId w:val="13"/>
        </w:numPr>
        <w:ind w:left="720"/>
        <w:rPr>
          <w:bCs/>
          <w:sz w:val="23"/>
          <w:szCs w:val="23"/>
        </w:rPr>
      </w:pPr>
      <w:r w:rsidRPr="005D7A6C">
        <w:rPr>
          <w:sz w:val="23"/>
          <w:szCs w:val="23"/>
        </w:rPr>
        <w:t xml:space="preserve">Any discovery motions or other non-dispositive proceedings in accordance with </w:t>
      </w:r>
      <w:r w:rsidRPr="005D7A6C">
        <w:rPr>
          <w:bCs/>
          <w:sz w:val="23"/>
          <w:szCs w:val="23"/>
        </w:rPr>
        <w:t xml:space="preserve">28 U.S.C. 636(b)(1)(A), </w:t>
      </w:r>
    </w:p>
    <w:p w14:paraId="2D4D3671" w14:textId="77777777" w:rsidR="00900D60" w:rsidRPr="005D7A6C" w:rsidRDefault="00900D60" w:rsidP="005D7A6C">
      <w:pPr>
        <w:pStyle w:val="Default"/>
        <w:ind w:left="360"/>
        <w:rPr>
          <w:sz w:val="23"/>
          <w:szCs w:val="23"/>
        </w:rPr>
      </w:pPr>
    </w:p>
    <w:p w14:paraId="54A62CEE" w14:textId="7A101D16" w:rsidR="00900D60" w:rsidRPr="005825E0" w:rsidRDefault="00AC4059" w:rsidP="005825E0">
      <w:pPr>
        <w:pStyle w:val="Default"/>
        <w:numPr>
          <w:ilvl w:val="0"/>
          <w:numId w:val="13"/>
        </w:numPr>
        <w:ind w:left="720"/>
        <w:rPr>
          <w:bCs/>
          <w:sz w:val="23"/>
          <w:szCs w:val="23"/>
        </w:rPr>
      </w:pPr>
      <w:r w:rsidRPr="005D7A6C">
        <w:rPr>
          <w:sz w:val="23"/>
          <w:szCs w:val="23"/>
        </w:rPr>
        <w:t xml:space="preserve">Any motions, other than discovery motions in accordance with </w:t>
      </w:r>
      <w:r w:rsidRPr="005D7A6C">
        <w:rPr>
          <w:bCs/>
          <w:sz w:val="23"/>
          <w:szCs w:val="23"/>
        </w:rPr>
        <w:t>28 U.S.C. 636(b)(1)(A)</w:t>
      </w:r>
      <w:r w:rsidRPr="005D7A6C">
        <w:rPr>
          <w:sz w:val="23"/>
          <w:szCs w:val="23"/>
        </w:rPr>
        <w:t>,</w:t>
      </w:r>
      <w:r w:rsidR="00900D60" w:rsidRPr="005D7A6C">
        <w:rPr>
          <w:sz w:val="23"/>
          <w:szCs w:val="23"/>
        </w:rPr>
        <w:t xml:space="preserve"> </w:t>
      </w:r>
      <w:r w:rsidRPr="005D7A6C">
        <w:rPr>
          <w:sz w:val="23"/>
          <w:szCs w:val="23"/>
        </w:rPr>
        <w:t xml:space="preserve">to wit: </w:t>
      </w:r>
      <w:r w:rsidR="005825E0">
        <w:rPr>
          <w:bCs/>
          <w:sz w:val="23"/>
          <w:szCs w:val="23"/>
        </w:rPr>
        <w:t xml:space="preserve">  </w:t>
      </w:r>
      <w:r w:rsidRPr="005825E0">
        <w:rPr>
          <w:sz w:val="23"/>
          <w:szCs w:val="23"/>
        </w:rPr>
        <w:t>Non-dispositive motions.</w:t>
      </w:r>
    </w:p>
    <w:p w14:paraId="3B74442F" w14:textId="77777777" w:rsidR="005825E0" w:rsidRDefault="005825E0" w:rsidP="005825E0">
      <w:pPr>
        <w:pStyle w:val="ListParagraph"/>
        <w:rPr>
          <w:bCs/>
          <w:sz w:val="23"/>
          <w:szCs w:val="23"/>
        </w:rPr>
      </w:pPr>
    </w:p>
    <w:p w14:paraId="061685A0" w14:textId="77777777" w:rsidR="00AC4059" w:rsidRPr="005D7A6C" w:rsidRDefault="00AC4059" w:rsidP="005D7A6C">
      <w:pPr>
        <w:pStyle w:val="Default"/>
        <w:numPr>
          <w:ilvl w:val="0"/>
          <w:numId w:val="14"/>
        </w:numPr>
        <w:rPr>
          <w:sz w:val="23"/>
          <w:szCs w:val="23"/>
        </w:rPr>
      </w:pPr>
      <w:bookmarkStart w:id="0" w:name="_GoBack"/>
      <w:bookmarkEnd w:id="0"/>
      <w:r w:rsidRPr="005D7A6C">
        <w:rPr>
          <w:sz w:val="23"/>
          <w:szCs w:val="23"/>
        </w:rPr>
        <w:t xml:space="preserve">All other matters authorized by law. </w:t>
      </w:r>
    </w:p>
    <w:p w14:paraId="2910F277" w14:textId="77777777" w:rsidR="00AC4059" w:rsidRPr="005D7A6C" w:rsidRDefault="00AC4059" w:rsidP="005D7A6C">
      <w:pPr>
        <w:pStyle w:val="Default"/>
        <w:ind w:left="360"/>
        <w:rPr>
          <w:sz w:val="23"/>
          <w:szCs w:val="23"/>
        </w:rPr>
      </w:pPr>
    </w:p>
    <w:p w14:paraId="0A328092" w14:textId="77777777" w:rsidR="00AC4059" w:rsidRPr="00FA3B38" w:rsidRDefault="00AC4059" w:rsidP="003861AF">
      <w:pPr>
        <w:pStyle w:val="Default"/>
        <w:ind w:firstLine="720"/>
        <w:rPr>
          <w:sz w:val="23"/>
          <w:szCs w:val="23"/>
        </w:rPr>
      </w:pPr>
      <w:r w:rsidRPr="00FA3B38">
        <w:rPr>
          <w:sz w:val="23"/>
          <w:szCs w:val="23"/>
        </w:rPr>
        <w:t xml:space="preserve">Habeas corpus petitions filed under </w:t>
      </w:r>
      <w:r w:rsidRPr="00FA3B38">
        <w:rPr>
          <w:b/>
          <w:bCs/>
          <w:sz w:val="23"/>
          <w:szCs w:val="23"/>
        </w:rPr>
        <w:t xml:space="preserve">28 U.S.C. 2241 and/or 2254 </w:t>
      </w:r>
      <w:r w:rsidRPr="00FA3B38">
        <w:rPr>
          <w:sz w:val="23"/>
          <w:szCs w:val="23"/>
        </w:rPr>
        <w:t xml:space="preserve">and prisoner petitions involving conditions of confinement shall be referred to the assigned magistrate judge for Report and Recommendation, including any evidentiary hearings if needed. </w:t>
      </w:r>
    </w:p>
    <w:p w14:paraId="4E7B2380" w14:textId="77777777" w:rsidR="003861AF" w:rsidRPr="00FA3B38" w:rsidRDefault="003861AF" w:rsidP="00AC4059">
      <w:pPr>
        <w:pStyle w:val="Default"/>
        <w:rPr>
          <w:sz w:val="23"/>
          <w:szCs w:val="23"/>
        </w:rPr>
      </w:pPr>
    </w:p>
    <w:p w14:paraId="650DC3C2" w14:textId="77777777" w:rsidR="00AC4059" w:rsidRPr="00FA3B38" w:rsidRDefault="00AC4059" w:rsidP="003861AF">
      <w:pPr>
        <w:pStyle w:val="Default"/>
        <w:ind w:firstLine="720"/>
        <w:rPr>
          <w:sz w:val="23"/>
          <w:szCs w:val="23"/>
        </w:rPr>
      </w:pPr>
      <w:r w:rsidRPr="00FA3B38">
        <w:rPr>
          <w:sz w:val="23"/>
          <w:szCs w:val="23"/>
        </w:rPr>
        <w:t xml:space="preserve">All petitions for review of a denial of a claim for benefits under the Social Security Act, </w:t>
      </w:r>
      <w:r w:rsidRPr="00FA3B38">
        <w:rPr>
          <w:b/>
          <w:bCs/>
          <w:sz w:val="23"/>
          <w:szCs w:val="23"/>
        </w:rPr>
        <w:t xml:space="preserve">42 U.S.C. 405(g) </w:t>
      </w:r>
      <w:r w:rsidRPr="00FA3B38">
        <w:rPr>
          <w:sz w:val="23"/>
          <w:szCs w:val="23"/>
        </w:rPr>
        <w:t xml:space="preserve">shall be referred to the assigned magistrate judge for Report and Recommendation. </w:t>
      </w:r>
    </w:p>
    <w:p w14:paraId="5C1BD6A5" w14:textId="77777777" w:rsidR="003861AF" w:rsidRPr="00FA3B38" w:rsidRDefault="003861AF" w:rsidP="00AC4059">
      <w:pPr>
        <w:pStyle w:val="Default"/>
        <w:rPr>
          <w:sz w:val="23"/>
          <w:szCs w:val="23"/>
        </w:rPr>
      </w:pPr>
    </w:p>
    <w:p w14:paraId="33066ABC" w14:textId="77777777" w:rsidR="00AC4059" w:rsidRPr="00FA3B38" w:rsidRDefault="00AC4059" w:rsidP="003861AF">
      <w:pPr>
        <w:pStyle w:val="Default"/>
        <w:ind w:firstLine="720"/>
        <w:rPr>
          <w:sz w:val="23"/>
          <w:szCs w:val="23"/>
        </w:rPr>
      </w:pPr>
      <w:r w:rsidRPr="00FA3B38">
        <w:rPr>
          <w:sz w:val="23"/>
          <w:szCs w:val="23"/>
        </w:rPr>
        <w:t xml:space="preserve">The assigned magistrate judge is authorized to enter any orders necessary to facilitate </w:t>
      </w:r>
    </w:p>
    <w:p w14:paraId="18396C44" w14:textId="77777777" w:rsidR="00B827A5" w:rsidRDefault="00AC4059" w:rsidP="00B827A5">
      <w:pPr>
        <w:pStyle w:val="Default"/>
        <w:pageBreakBefore/>
        <w:jc w:val="center"/>
        <w:rPr>
          <w:sz w:val="23"/>
          <w:szCs w:val="23"/>
        </w:rPr>
      </w:pPr>
      <w:r w:rsidRPr="00FA3B38">
        <w:rPr>
          <w:sz w:val="23"/>
          <w:szCs w:val="23"/>
        </w:rPr>
        <w:lastRenderedPageBreak/>
        <w:t>review of referred matters, including, but not limited to, orders for the filing of pleadings, motions, and memoranda. The assigned magistrate judge is further authorized to conduct evidentiary hearings.</w:t>
      </w:r>
      <w:r w:rsidR="00B827A5">
        <w:rPr>
          <w:sz w:val="23"/>
          <w:szCs w:val="23"/>
        </w:rPr>
        <w:t xml:space="preserve">  </w:t>
      </w:r>
    </w:p>
    <w:p w14:paraId="6DFB287E" w14:textId="77777777" w:rsidR="00B827A5" w:rsidRDefault="00B827A5" w:rsidP="00B827A5">
      <w:pPr>
        <w:pStyle w:val="Default"/>
        <w:jc w:val="center"/>
        <w:rPr>
          <w:b/>
          <w:sz w:val="23"/>
          <w:szCs w:val="23"/>
        </w:rPr>
      </w:pPr>
    </w:p>
    <w:p w14:paraId="574D6807" w14:textId="77777777" w:rsidR="00AC4059" w:rsidRPr="00FA3B38" w:rsidRDefault="00B827A5" w:rsidP="00B827A5">
      <w:pPr>
        <w:pStyle w:val="Default"/>
        <w:jc w:val="center"/>
        <w:rPr>
          <w:sz w:val="23"/>
          <w:szCs w:val="23"/>
        </w:rPr>
      </w:pPr>
      <w:r>
        <w:rPr>
          <w:b/>
          <w:sz w:val="23"/>
          <w:szCs w:val="23"/>
        </w:rPr>
        <w:t>C</w:t>
      </w:r>
      <w:r w:rsidR="00AC4059" w:rsidRPr="00FA3B38">
        <w:rPr>
          <w:b/>
          <w:bCs/>
          <w:sz w:val="23"/>
          <w:szCs w:val="23"/>
        </w:rPr>
        <w:t>riminal Cases</w:t>
      </w:r>
    </w:p>
    <w:p w14:paraId="4F9CB0EE" w14:textId="77777777" w:rsidR="003861AF" w:rsidRPr="00FA3B38" w:rsidRDefault="003861AF" w:rsidP="00AC4059">
      <w:pPr>
        <w:pStyle w:val="Default"/>
        <w:rPr>
          <w:sz w:val="23"/>
          <w:szCs w:val="23"/>
        </w:rPr>
      </w:pPr>
    </w:p>
    <w:p w14:paraId="493C72E0" w14:textId="77777777" w:rsidR="003861AF" w:rsidRPr="00FA3B38" w:rsidRDefault="00AC4059" w:rsidP="003861AF">
      <w:pPr>
        <w:pStyle w:val="Default"/>
        <w:ind w:firstLine="720"/>
        <w:rPr>
          <w:sz w:val="23"/>
          <w:szCs w:val="23"/>
        </w:rPr>
      </w:pPr>
      <w:r w:rsidRPr="00FA3B38">
        <w:rPr>
          <w:sz w:val="23"/>
          <w:szCs w:val="23"/>
        </w:rPr>
        <w:t>All criminal actions shall be referred to the assigned magistrate judge for disposition of all pretrial matters arising through the date of the final pretrial conference or such other date as the court may direct in any particular case. This reference shall include:</w:t>
      </w:r>
    </w:p>
    <w:p w14:paraId="2F0FE21A" w14:textId="77777777" w:rsidR="00AC4059" w:rsidRPr="00FA3B38" w:rsidRDefault="00AC4059" w:rsidP="003861AF">
      <w:pPr>
        <w:pStyle w:val="Default"/>
        <w:ind w:firstLine="720"/>
        <w:rPr>
          <w:sz w:val="23"/>
          <w:szCs w:val="23"/>
        </w:rPr>
      </w:pPr>
      <w:r w:rsidRPr="00FA3B38">
        <w:rPr>
          <w:sz w:val="23"/>
          <w:szCs w:val="23"/>
        </w:rPr>
        <w:t xml:space="preserve"> </w:t>
      </w:r>
    </w:p>
    <w:p w14:paraId="0F61DA69" w14:textId="77777777" w:rsidR="003861AF" w:rsidRPr="00FA3B38" w:rsidRDefault="00AC4059" w:rsidP="005D7A6C">
      <w:pPr>
        <w:pStyle w:val="Default"/>
        <w:numPr>
          <w:ilvl w:val="0"/>
          <w:numId w:val="12"/>
        </w:numPr>
        <w:spacing w:after="320"/>
        <w:rPr>
          <w:sz w:val="23"/>
          <w:szCs w:val="23"/>
        </w:rPr>
      </w:pPr>
      <w:r w:rsidRPr="00FA3B38">
        <w:rPr>
          <w:sz w:val="23"/>
          <w:szCs w:val="23"/>
        </w:rPr>
        <w:t xml:space="preserve">Discovery; </w:t>
      </w:r>
    </w:p>
    <w:p w14:paraId="3804B541" w14:textId="77777777" w:rsidR="003861AF" w:rsidRPr="00FA3B38" w:rsidRDefault="00AC4059" w:rsidP="005D7A6C">
      <w:pPr>
        <w:pStyle w:val="Default"/>
        <w:numPr>
          <w:ilvl w:val="0"/>
          <w:numId w:val="12"/>
        </w:numPr>
        <w:spacing w:after="320"/>
        <w:rPr>
          <w:sz w:val="23"/>
          <w:szCs w:val="23"/>
        </w:rPr>
      </w:pPr>
      <w:r w:rsidRPr="00FA3B38">
        <w:rPr>
          <w:sz w:val="23"/>
          <w:szCs w:val="23"/>
        </w:rPr>
        <w:t xml:space="preserve">Motions, to wit: </w:t>
      </w:r>
    </w:p>
    <w:p w14:paraId="27AA408D" w14:textId="77777777" w:rsidR="00730E88" w:rsidRDefault="003861AF" w:rsidP="005D7A6C">
      <w:pPr>
        <w:pStyle w:val="Default"/>
        <w:numPr>
          <w:ilvl w:val="1"/>
          <w:numId w:val="12"/>
        </w:numPr>
        <w:spacing w:after="320"/>
        <w:rPr>
          <w:sz w:val="23"/>
          <w:szCs w:val="23"/>
        </w:rPr>
      </w:pPr>
      <w:r w:rsidRPr="00FA3B38">
        <w:rPr>
          <w:sz w:val="23"/>
          <w:szCs w:val="23"/>
        </w:rPr>
        <w:t>N</w:t>
      </w:r>
      <w:r w:rsidR="00AC4059" w:rsidRPr="00FA3B38">
        <w:rPr>
          <w:sz w:val="23"/>
          <w:szCs w:val="23"/>
        </w:rPr>
        <w:t>on-dispositive motions;</w:t>
      </w:r>
    </w:p>
    <w:p w14:paraId="497B3511" w14:textId="77777777" w:rsidR="005D7A6C" w:rsidRDefault="00730E88" w:rsidP="005D7A6C">
      <w:pPr>
        <w:pStyle w:val="Default"/>
        <w:numPr>
          <w:ilvl w:val="1"/>
          <w:numId w:val="12"/>
        </w:numPr>
        <w:spacing w:after="320"/>
        <w:rPr>
          <w:sz w:val="23"/>
          <w:szCs w:val="23"/>
        </w:rPr>
      </w:pPr>
      <w:r w:rsidRPr="00730E88">
        <w:rPr>
          <w:sz w:val="23"/>
          <w:szCs w:val="23"/>
        </w:rPr>
        <w:t>S</w:t>
      </w:r>
      <w:r w:rsidR="00AC4059" w:rsidRPr="00730E88">
        <w:rPr>
          <w:sz w:val="23"/>
          <w:szCs w:val="23"/>
        </w:rPr>
        <w:t xml:space="preserve">ubstantive motions, which will be referred to the assigned magistrate judge for Report and Recommendation. </w:t>
      </w:r>
    </w:p>
    <w:p w14:paraId="16AFB0D5" w14:textId="77777777" w:rsidR="00AC4059" w:rsidRPr="005D7A6C" w:rsidRDefault="00AC4059" w:rsidP="005D7A6C">
      <w:pPr>
        <w:pStyle w:val="Default"/>
        <w:numPr>
          <w:ilvl w:val="0"/>
          <w:numId w:val="12"/>
        </w:numPr>
        <w:spacing w:after="320"/>
        <w:rPr>
          <w:sz w:val="23"/>
          <w:szCs w:val="23"/>
        </w:rPr>
      </w:pPr>
      <w:r w:rsidRPr="005D7A6C">
        <w:rPr>
          <w:sz w:val="23"/>
          <w:szCs w:val="23"/>
        </w:rPr>
        <w:t xml:space="preserve">Pretrial conferences; </w:t>
      </w:r>
    </w:p>
    <w:p w14:paraId="6D1FA52E" w14:textId="77777777" w:rsidR="00AC4059" w:rsidRPr="00FA3B38" w:rsidRDefault="003861AF" w:rsidP="005D7A6C">
      <w:pPr>
        <w:pStyle w:val="Default"/>
        <w:numPr>
          <w:ilvl w:val="0"/>
          <w:numId w:val="12"/>
        </w:numPr>
        <w:rPr>
          <w:sz w:val="23"/>
          <w:szCs w:val="23"/>
        </w:rPr>
      </w:pPr>
      <w:r w:rsidRPr="00FA3B38">
        <w:rPr>
          <w:sz w:val="23"/>
          <w:szCs w:val="23"/>
        </w:rPr>
        <w:t>A</w:t>
      </w:r>
      <w:r w:rsidR="00AC4059" w:rsidRPr="00FA3B38">
        <w:rPr>
          <w:sz w:val="23"/>
          <w:szCs w:val="23"/>
        </w:rPr>
        <w:t xml:space="preserve">ll other matters authorized by law. </w:t>
      </w:r>
    </w:p>
    <w:p w14:paraId="7210D2B0" w14:textId="77777777" w:rsidR="00AC4059" w:rsidRPr="00FA3B38" w:rsidRDefault="00AC4059" w:rsidP="00AC4059">
      <w:pPr>
        <w:pStyle w:val="Default"/>
        <w:rPr>
          <w:sz w:val="23"/>
          <w:szCs w:val="23"/>
        </w:rPr>
      </w:pPr>
    </w:p>
    <w:p w14:paraId="0A6FA93F" w14:textId="77777777" w:rsidR="00AC4059" w:rsidRPr="00FA3B38" w:rsidRDefault="00AC4059" w:rsidP="003861AF">
      <w:pPr>
        <w:pStyle w:val="Default"/>
        <w:ind w:firstLine="720"/>
        <w:rPr>
          <w:sz w:val="23"/>
          <w:szCs w:val="23"/>
        </w:rPr>
      </w:pPr>
      <w:r w:rsidRPr="00FA3B38">
        <w:rPr>
          <w:sz w:val="23"/>
          <w:szCs w:val="23"/>
        </w:rPr>
        <w:t xml:space="preserve">The assigned magistrate judge is authorized to enter any orders necessary to facilitate review of referred matters, including, but not limited to, orders for the filing of pleadings, motions, and memoranda. The assigned magistrate judge is further authorized to conduct evidentiary hearings. </w:t>
      </w:r>
    </w:p>
    <w:p w14:paraId="78BC7A60" w14:textId="77777777" w:rsidR="003861AF" w:rsidRPr="00FA3B38" w:rsidRDefault="003861AF" w:rsidP="003861AF">
      <w:pPr>
        <w:pStyle w:val="Default"/>
        <w:ind w:firstLine="720"/>
        <w:rPr>
          <w:sz w:val="23"/>
          <w:szCs w:val="23"/>
        </w:rPr>
      </w:pPr>
    </w:p>
    <w:p w14:paraId="71AFA052" w14:textId="77777777" w:rsidR="00C92741" w:rsidRPr="00FA3B38" w:rsidRDefault="00AC4059" w:rsidP="00FA3B38">
      <w:pPr>
        <w:ind w:firstLine="720"/>
        <w:rPr>
          <w:rFonts w:ascii="Times New Roman" w:hAnsi="Times New Roman" w:cs="Times New Roman"/>
        </w:rPr>
      </w:pPr>
      <w:r w:rsidRPr="00FA3B38">
        <w:rPr>
          <w:rFonts w:ascii="Times New Roman" w:hAnsi="Times New Roman" w:cs="Times New Roman"/>
          <w:sz w:val="23"/>
          <w:szCs w:val="23"/>
        </w:rPr>
        <w:t xml:space="preserve">Nothing in this order shall preclude Judge </w:t>
      </w:r>
      <w:r w:rsidR="00FA3B38" w:rsidRPr="00FA3B38">
        <w:rPr>
          <w:rFonts w:ascii="Times New Roman" w:hAnsi="Times New Roman" w:cs="Times New Roman"/>
          <w:sz w:val="23"/>
          <w:szCs w:val="23"/>
        </w:rPr>
        <w:t xml:space="preserve">James D. Cain, Jr. </w:t>
      </w:r>
      <w:r w:rsidRPr="00FA3B38">
        <w:rPr>
          <w:rFonts w:ascii="Times New Roman" w:hAnsi="Times New Roman" w:cs="Times New Roman"/>
          <w:sz w:val="23"/>
          <w:szCs w:val="23"/>
        </w:rPr>
        <w:t>from withdrawing the reference of any matter.</w:t>
      </w:r>
    </w:p>
    <w:sectPr w:rsidR="00C92741" w:rsidRPr="00FA3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2C23" w14:textId="77777777" w:rsidR="00B827A5" w:rsidRDefault="00B827A5" w:rsidP="00B827A5">
      <w:r>
        <w:separator/>
      </w:r>
    </w:p>
  </w:endnote>
  <w:endnote w:type="continuationSeparator" w:id="0">
    <w:p w14:paraId="34C7C2F4" w14:textId="77777777" w:rsidR="00B827A5" w:rsidRDefault="00B827A5" w:rsidP="00B8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55E8" w14:textId="77777777" w:rsidR="00B827A5" w:rsidRDefault="00B827A5" w:rsidP="00B827A5">
      <w:r>
        <w:separator/>
      </w:r>
    </w:p>
  </w:footnote>
  <w:footnote w:type="continuationSeparator" w:id="0">
    <w:p w14:paraId="4E8C508D" w14:textId="77777777" w:rsidR="00B827A5" w:rsidRDefault="00B827A5" w:rsidP="00B8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2D26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9C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36A08"/>
    <w:multiLevelType w:val="hybridMultilevel"/>
    <w:tmpl w:val="09E01D6A"/>
    <w:lvl w:ilvl="0" w:tplc="45C8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D293D"/>
    <w:multiLevelType w:val="multilevel"/>
    <w:tmpl w:val="1FA0BB38"/>
    <w:lvl w:ilvl="0">
      <w:start w:val="4"/>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04039E0"/>
    <w:multiLevelType w:val="multilevel"/>
    <w:tmpl w:val="1FA0BB38"/>
    <w:lvl w:ilvl="0">
      <w:start w:val="4"/>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230186D"/>
    <w:multiLevelType w:val="multilevel"/>
    <w:tmpl w:val="E11A40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547B1A"/>
    <w:multiLevelType w:val="hybridMultilevel"/>
    <w:tmpl w:val="C42A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87A28"/>
    <w:multiLevelType w:val="multilevel"/>
    <w:tmpl w:val="E1BA4CA2"/>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45F34C6"/>
    <w:multiLevelType w:val="hybridMultilevel"/>
    <w:tmpl w:val="B4A8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F7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7E616A"/>
    <w:multiLevelType w:val="multilevel"/>
    <w:tmpl w:val="E11A40B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40C15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F824F9"/>
    <w:multiLevelType w:val="hybridMultilevel"/>
    <w:tmpl w:val="46800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76C32"/>
    <w:multiLevelType w:val="hybridMultilevel"/>
    <w:tmpl w:val="E36E913E"/>
    <w:lvl w:ilvl="0" w:tplc="9A10DC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12"/>
  </w:num>
  <w:num w:numId="6">
    <w:abstractNumId w:val="6"/>
  </w:num>
  <w:num w:numId="7">
    <w:abstractNumId w:val="8"/>
  </w:num>
  <w:num w:numId="8">
    <w:abstractNumId w:val="9"/>
  </w:num>
  <w:num w:numId="9">
    <w:abstractNumId w:val="3"/>
  </w:num>
  <w:num w:numId="10">
    <w:abstractNumId w:val="4"/>
  </w:num>
  <w:num w:numId="11">
    <w:abstractNumId w:val="5"/>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59"/>
    <w:rsid w:val="00087A51"/>
    <w:rsid w:val="000C6948"/>
    <w:rsid w:val="003861AF"/>
    <w:rsid w:val="005825E0"/>
    <w:rsid w:val="005D7A6C"/>
    <w:rsid w:val="0070124E"/>
    <w:rsid w:val="00730E88"/>
    <w:rsid w:val="008E63B4"/>
    <w:rsid w:val="00900D60"/>
    <w:rsid w:val="00AC4059"/>
    <w:rsid w:val="00B827A5"/>
    <w:rsid w:val="00BC1DD3"/>
    <w:rsid w:val="00BD62F2"/>
    <w:rsid w:val="00C10560"/>
    <w:rsid w:val="00C92741"/>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4CB2"/>
  <w15:chartTrackingRefBased/>
  <w15:docId w15:val="{659BE67B-3503-42BD-A6B3-27A88D87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9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Quote"/>
    <w:qFormat/>
    <w:rsid w:val="0070124E"/>
    <w:pPr>
      <w:spacing w:before="0" w:after="0"/>
      <w:ind w:left="720" w:right="720"/>
      <w:jc w:val="both"/>
    </w:pPr>
    <w:rPr>
      <w:i w:val="0"/>
    </w:rPr>
  </w:style>
  <w:style w:type="paragraph" w:styleId="Quote">
    <w:name w:val="Quote"/>
    <w:basedOn w:val="Normal"/>
    <w:next w:val="Normal"/>
    <w:link w:val="QuoteChar"/>
    <w:uiPriority w:val="29"/>
    <w:qFormat/>
    <w:rsid w:val="00701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124E"/>
    <w:rPr>
      <w:i/>
      <w:iCs/>
      <w:color w:val="404040" w:themeColor="text1" w:themeTint="BF"/>
    </w:rPr>
  </w:style>
  <w:style w:type="paragraph" w:customStyle="1" w:styleId="Default">
    <w:name w:val="Default"/>
    <w:rsid w:val="00AC4059"/>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5D7A6C"/>
    <w:pPr>
      <w:ind w:left="720"/>
      <w:contextualSpacing/>
    </w:pPr>
  </w:style>
  <w:style w:type="paragraph" w:styleId="Header">
    <w:name w:val="header"/>
    <w:basedOn w:val="Normal"/>
    <w:link w:val="HeaderChar"/>
    <w:uiPriority w:val="99"/>
    <w:unhideWhenUsed/>
    <w:rsid w:val="00B827A5"/>
    <w:pPr>
      <w:tabs>
        <w:tab w:val="center" w:pos="4680"/>
        <w:tab w:val="right" w:pos="9360"/>
      </w:tabs>
    </w:pPr>
  </w:style>
  <w:style w:type="character" w:customStyle="1" w:styleId="HeaderChar">
    <w:name w:val="Header Char"/>
    <w:basedOn w:val="DefaultParagraphFont"/>
    <w:link w:val="Header"/>
    <w:uiPriority w:val="99"/>
    <w:rsid w:val="00B827A5"/>
  </w:style>
  <w:style w:type="paragraph" w:styleId="Footer">
    <w:name w:val="footer"/>
    <w:basedOn w:val="Normal"/>
    <w:link w:val="FooterChar"/>
    <w:uiPriority w:val="99"/>
    <w:unhideWhenUsed/>
    <w:rsid w:val="00B827A5"/>
    <w:pPr>
      <w:tabs>
        <w:tab w:val="center" w:pos="4680"/>
        <w:tab w:val="right" w:pos="9360"/>
      </w:tabs>
    </w:pPr>
  </w:style>
  <w:style w:type="character" w:customStyle="1" w:styleId="FooterChar">
    <w:name w:val="Footer Char"/>
    <w:basedOn w:val="DefaultParagraphFont"/>
    <w:link w:val="Footer"/>
    <w:uiPriority w:val="99"/>
    <w:rsid w:val="00B8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7F566EFA.dotm</Template>
  <TotalTime>11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Trelvis Dunford</dc:creator>
  <cp:keywords/>
  <dc:description/>
  <cp:lastModifiedBy>Trelvis Dunford</cp:lastModifiedBy>
  <cp:revision>4</cp:revision>
  <dcterms:created xsi:type="dcterms:W3CDTF">2020-01-31T17:51:00Z</dcterms:created>
  <dcterms:modified xsi:type="dcterms:W3CDTF">2020-02-05T19:54:00Z</dcterms:modified>
</cp:coreProperties>
</file>